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4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674B2">
        <w:rPr>
          <w:rFonts w:ascii="Times New Roman" w:hAnsi="Times New Roman" w:cs="Times New Roman"/>
          <w:b/>
          <w:sz w:val="40"/>
          <w:szCs w:val="40"/>
        </w:rPr>
        <w:t>РЕЕСТР ПОДКОНТРОЛЬНЫХ СУБЬЕКТОВ И ОБЪЕКТОВ</w:t>
      </w:r>
    </w:p>
    <w:p w:rsidR="008674B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Индивидуальные предприниматели</w:t>
      </w:r>
    </w:p>
    <w:p w:rsidR="008674B2" w:rsidRP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Юридические лица</w:t>
      </w:r>
    </w:p>
    <w:sectPr w:rsidR="008674B2" w:rsidRPr="0086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FD"/>
    <w:rsid w:val="00405EFD"/>
    <w:rsid w:val="008674B2"/>
    <w:rsid w:val="00DF6254"/>
    <w:rsid w:val="00E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Борис. Архипова</dc:creator>
  <cp:lastModifiedBy>Алёна Кирюшина</cp:lastModifiedBy>
  <cp:revision>2</cp:revision>
  <dcterms:created xsi:type="dcterms:W3CDTF">2022-01-20T12:36:00Z</dcterms:created>
  <dcterms:modified xsi:type="dcterms:W3CDTF">2022-01-20T12:36:00Z</dcterms:modified>
</cp:coreProperties>
</file>